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7D5E" w14:textId="77777777" w:rsidR="00E25629" w:rsidRPr="002C3202" w:rsidRDefault="00E25629" w:rsidP="002C3202">
      <w:pPr>
        <w:pStyle w:val="Antrat1"/>
        <w:jc w:val="center"/>
        <w:rPr>
          <w:rFonts w:ascii="Times New Roman" w:eastAsia="Times New Roman" w:hAnsi="Times New Roman" w:cs="Times New Roman"/>
          <w:lang w:eastAsia="lt-LT"/>
        </w:rPr>
      </w:pPr>
      <w:r w:rsidRPr="002C3202">
        <w:rPr>
          <w:rFonts w:ascii="Times New Roman" w:eastAsia="Times New Roman" w:hAnsi="Times New Roman" w:cs="Times New Roman"/>
          <w:lang w:eastAsia="lt-LT"/>
        </w:rPr>
        <w:t xml:space="preserve">Duomenų sąrašo </w:t>
      </w:r>
      <w:r w:rsidR="006D1A02" w:rsidRPr="006D1A02">
        <w:rPr>
          <w:rFonts w:ascii="Times New Roman" w:eastAsia="Times New Roman" w:hAnsi="Times New Roman" w:cs="Times New Roman"/>
          <w:lang w:eastAsia="lt-LT"/>
        </w:rPr>
        <w:t>„Statistika dėl smurto ir patyčių“</w:t>
      </w:r>
      <w:r w:rsidR="002C3202" w:rsidRPr="002C3202">
        <w:rPr>
          <w:rFonts w:ascii="Times New Roman" w:eastAsia="Times New Roman" w:hAnsi="Times New Roman" w:cs="Times New Roman"/>
          <w:lang w:eastAsia="lt-LT"/>
        </w:rPr>
        <w:t xml:space="preserve"> pa</w:t>
      </w:r>
      <w:r w:rsidR="002E5A68" w:rsidRPr="002C3202">
        <w:rPr>
          <w:rFonts w:ascii="Times New Roman" w:eastAsia="Times New Roman" w:hAnsi="Times New Roman" w:cs="Times New Roman"/>
          <w:lang w:eastAsia="lt-LT"/>
        </w:rPr>
        <w:t>teikimo</w:t>
      </w:r>
      <w:r w:rsidR="002C3202" w:rsidRPr="002C3202">
        <w:rPr>
          <w:rFonts w:ascii="Times New Roman" w:eastAsia="Times New Roman" w:hAnsi="Times New Roman" w:cs="Times New Roman"/>
          <w:lang w:eastAsia="lt-LT"/>
        </w:rPr>
        <w:t>, pildymo ir atsiskaitymo</w:t>
      </w:r>
      <w:r w:rsidRPr="002C3202">
        <w:rPr>
          <w:rFonts w:ascii="Times New Roman" w:eastAsia="Times New Roman" w:hAnsi="Times New Roman" w:cs="Times New Roman"/>
          <w:lang w:eastAsia="lt-LT"/>
        </w:rPr>
        <w:t xml:space="preserve"> instrukcija</w:t>
      </w:r>
    </w:p>
    <w:p w14:paraId="459D321A" w14:textId="77777777" w:rsidR="00E25629" w:rsidRPr="002C3202" w:rsidRDefault="00E25629" w:rsidP="006B6F47">
      <w:pPr>
        <w:spacing w:after="0" w:line="240" w:lineRule="auto"/>
        <w:jc w:val="both"/>
        <w:rPr>
          <w:rFonts w:eastAsia="Times New Roman"/>
          <w:lang w:eastAsia="lt-LT"/>
        </w:rPr>
      </w:pPr>
    </w:p>
    <w:p w14:paraId="3A97D6B4" w14:textId="77777777" w:rsidR="00D144A8" w:rsidRPr="00D144A8" w:rsidRDefault="00D144A8" w:rsidP="006B6F47">
      <w:pPr>
        <w:spacing w:after="0" w:line="240" w:lineRule="auto"/>
        <w:jc w:val="both"/>
        <w:rPr>
          <w:rFonts w:eastAsiaTheme="minorHAnsi"/>
        </w:rPr>
      </w:pPr>
    </w:p>
    <w:p w14:paraId="6E148743" w14:textId="77777777" w:rsidR="00D144A8" w:rsidRPr="002C3202" w:rsidRDefault="006B6F47"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P</w:t>
      </w:r>
      <w:r w:rsidR="00D144A8" w:rsidRPr="002C3202">
        <w:rPr>
          <w:rFonts w:ascii="Times New Roman" w:eastAsiaTheme="minorHAnsi" w:hAnsi="Times New Roman" w:cs="Times New Roman"/>
        </w:rPr>
        <w:t>ateikimo į ŠVIS tvarka</w:t>
      </w:r>
    </w:p>
    <w:p w14:paraId="2496074F" w14:textId="77777777" w:rsidR="00D144A8" w:rsidRPr="00D144A8" w:rsidRDefault="000F4F71" w:rsidP="000F4F71">
      <w:pPr>
        <w:numPr>
          <w:ilvl w:val="0"/>
          <w:numId w:val="2"/>
        </w:numPr>
        <w:spacing w:after="0" w:line="240" w:lineRule="auto"/>
        <w:jc w:val="both"/>
      </w:pPr>
      <w:r>
        <w:t xml:space="preserve">Interneto svetainėje </w:t>
      </w:r>
      <w:hyperlink r:id="rId8" w:history="1">
        <w:r w:rsidRPr="00E1093E">
          <w:rPr>
            <w:rStyle w:val="Hipersaitas"/>
          </w:rPr>
          <w:t>https://rsvis3.emokykla.lt/cognos/bi/?perspective=home</w:t>
        </w:r>
      </w:hyperlink>
      <w:r>
        <w:t xml:space="preserve"> spauskite </w:t>
      </w:r>
      <w:r w:rsidR="004041CF">
        <w:t>„</w:t>
      </w:r>
      <w:r>
        <w:t>žmogaus</w:t>
      </w:r>
      <w:r w:rsidR="00D144A8" w:rsidRPr="00D144A8">
        <w:t>“</w:t>
      </w:r>
      <w:r>
        <w:t xml:space="preserve"> ikoną viršuje dešinėje</w:t>
      </w:r>
      <w:r w:rsidR="00D144A8" w:rsidRPr="00D144A8">
        <w:t xml:space="preserve"> ir </w:t>
      </w:r>
      <w:r>
        <w:t>iššokusį žodį „Prisijunkite“</w:t>
      </w:r>
      <w:r w:rsidR="00D144A8" w:rsidRPr="00D144A8">
        <w:t>.</w:t>
      </w:r>
    </w:p>
    <w:p w14:paraId="2AA31FD1" w14:textId="26CD1F1D" w:rsidR="00D144A8" w:rsidRDefault="000F4F71" w:rsidP="002C3202">
      <w:pPr>
        <w:numPr>
          <w:ilvl w:val="0"/>
          <w:numId w:val="2"/>
        </w:numPr>
        <w:tabs>
          <w:tab w:val="num" w:pos="851"/>
        </w:tabs>
        <w:spacing w:after="0" w:line="240" w:lineRule="auto"/>
        <w:ind w:left="397" w:hanging="397"/>
        <w:jc w:val="both"/>
      </w:pPr>
      <w:r>
        <w:t>Prisijunkite</w:t>
      </w:r>
      <w:r w:rsidR="00D144A8" w:rsidRPr="00D144A8">
        <w:t>.</w:t>
      </w:r>
    </w:p>
    <w:p w14:paraId="4F085EA8" w14:textId="77777777" w:rsidR="00D144A8" w:rsidRDefault="006D1A02" w:rsidP="006D1A02">
      <w:pPr>
        <w:numPr>
          <w:ilvl w:val="0"/>
          <w:numId w:val="2"/>
        </w:numPr>
        <w:spacing w:after="0" w:line="240" w:lineRule="auto"/>
        <w:jc w:val="both"/>
        <w:rPr>
          <w:rFonts w:eastAsiaTheme="minorHAnsi"/>
        </w:rPr>
      </w:pPr>
      <w:r>
        <w:rPr>
          <w:rFonts w:eastAsiaTheme="minorHAnsi"/>
        </w:rPr>
        <w:t>Norėdami užpildyti statistinius</w:t>
      </w:r>
      <w:r w:rsidRPr="006D1A02">
        <w:rPr>
          <w:rFonts w:eastAsiaTheme="minorHAnsi"/>
        </w:rPr>
        <w:t xml:space="preserve"> smurto ir patyčių </w:t>
      </w:r>
      <w:r w:rsidR="00D144A8" w:rsidRPr="002E5A68">
        <w:rPr>
          <w:rFonts w:eastAsiaTheme="minorHAnsi"/>
        </w:rPr>
        <w:t>duomenis:</w:t>
      </w:r>
    </w:p>
    <w:p w14:paraId="0F2422AF" w14:textId="77777777" w:rsidR="00D144A8" w:rsidRDefault="00461DED" w:rsidP="006D1A02">
      <w:pPr>
        <w:numPr>
          <w:ilvl w:val="1"/>
          <w:numId w:val="2"/>
        </w:numPr>
        <w:spacing w:after="0" w:line="240" w:lineRule="auto"/>
        <w:jc w:val="both"/>
        <w:rPr>
          <w:rFonts w:eastAsiaTheme="minorHAnsi"/>
        </w:rPr>
      </w:pPr>
      <w:r>
        <w:rPr>
          <w:rFonts w:eastAsiaTheme="minorHAnsi"/>
        </w:rPr>
        <w:t>Kairiaj</w:t>
      </w:r>
      <w:r w:rsidR="002C3202">
        <w:rPr>
          <w:rFonts w:eastAsiaTheme="minorHAnsi"/>
        </w:rPr>
        <w:t>ame meniu</w:t>
      </w:r>
      <w:r w:rsidR="00D144A8" w:rsidRPr="002E5A68">
        <w:rPr>
          <w:rFonts w:eastAsiaTheme="minorHAnsi"/>
        </w:rPr>
        <w:t xml:space="preserve"> pasirinkite skiltį </w:t>
      </w:r>
      <w:r>
        <w:rPr>
          <w:rFonts w:eastAsiaTheme="minorHAnsi"/>
          <w:b/>
        </w:rPr>
        <w:t>Pateikti duomenis</w:t>
      </w:r>
      <w:r w:rsidR="006D1A02">
        <w:rPr>
          <w:rFonts w:eastAsiaTheme="minorHAnsi"/>
          <w:b/>
        </w:rPr>
        <w:t xml:space="preserve"> </w:t>
      </w:r>
      <w:r w:rsidR="006D1A02" w:rsidRPr="006D1A02">
        <w:rPr>
          <w:rFonts w:eastAsiaTheme="minorHAnsi"/>
        </w:rPr>
        <w:t>(užtrunka, reikia palaukti)</w:t>
      </w:r>
      <w:r w:rsidR="002E5A68">
        <w:rPr>
          <w:rFonts w:eastAsiaTheme="minorHAnsi"/>
        </w:rPr>
        <w:t>;</w:t>
      </w:r>
    </w:p>
    <w:p w14:paraId="78534A45"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 xml:space="preserve">Jeigu esate tik institucijos duomenų </w:t>
      </w:r>
      <w:proofErr w:type="spellStart"/>
      <w:r w:rsidRPr="002E5A68">
        <w:rPr>
          <w:rFonts w:eastAsiaTheme="minorHAnsi"/>
        </w:rPr>
        <w:t>pildytojas</w:t>
      </w:r>
      <w:proofErr w:type="spellEnd"/>
      <w:r w:rsidRPr="002E5A68">
        <w:rPr>
          <w:rFonts w:eastAsiaTheme="minorHAnsi"/>
        </w:rPr>
        <w:t>:</w:t>
      </w:r>
    </w:p>
    <w:p w14:paraId="2E5529D6"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Skiltyje „</w:t>
      </w:r>
      <w:r w:rsidRPr="002E5A68">
        <w:rPr>
          <w:rFonts w:eastAsiaTheme="minorHAnsi"/>
          <w:b/>
        </w:rPr>
        <w:t>Jūs turite užpildyti šias formas</w:t>
      </w:r>
      <w:r w:rsidRPr="002E5A68">
        <w:rPr>
          <w:rFonts w:eastAsiaTheme="minorHAnsi"/>
        </w:rPr>
        <w:t>“ matysite nuorodas į statistikos duomenų sąrašus, kuriuos reikia užpildyti;</w:t>
      </w:r>
    </w:p>
    <w:p w14:paraId="1432B875"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Užpildę atitinkamus duomenų sąrašus paspauskite „</w:t>
      </w:r>
      <w:r w:rsidRPr="002E5A68">
        <w:rPr>
          <w:rFonts w:eastAsiaTheme="minorHAnsi"/>
          <w:b/>
        </w:rPr>
        <w:t>Išsaugoti</w:t>
      </w:r>
      <w:r w:rsidRPr="002E5A68">
        <w:rPr>
          <w:rFonts w:eastAsiaTheme="minorHAnsi"/>
        </w:rPr>
        <w:t>“ ir „</w:t>
      </w:r>
      <w:r w:rsidRPr="002E5A68">
        <w:rPr>
          <w:rFonts w:eastAsiaTheme="minorHAnsi"/>
          <w:b/>
        </w:rPr>
        <w:t>Teikti tvirtinimui</w:t>
      </w:r>
      <w:r w:rsidRPr="002E5A68">
        <w:rPr>
          <w:rFonts w:eastAsiaTheme="minorHAnsi"/>
        </w:rPr>
        <w:t>“.</w:t>
      </w:r>
    </w:p>
    <w:p w14:paraId="78DB1F71"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Jeigu esate tik institucijos duomenų tvirtintojas:</w:t>
      </w:r>
    </w:p>
    <w:p w14:paraId="09522212"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Skiltyje „</w:t>
      </w:r>
      <w:r w:rsidRPr="002E5A68">
        <w:rPr>
          <w:rFonts w:eastAsiaTheme="minorHAnsi"/>
          <w:b/>
        </w:rPr>
        <w:t>Jūs turite patvirtinti šias formas</w:t>
      </w:r>
      <w:r w:rsidRPr="002E5A68">
        <w:rPr>
          <w:rFonts w:eastAsiaTheme="minorHAnsi"/>
        </w:rPr>
        <w:t xml:space="preserve">“ matysite nuorodas į statistikos duomenų sąrašus, kurių duomenis </w:t>
      </w:r>
      <w:proofErr w:type="spellStart"/>
      <w:r w:rsidRPr="002E5A68">
        <w:rPr>
          <w:rFonts w:eastAsiaTheme="minorHAnsi"/>
        </w:rPr>
        <w:t>pildytojas</w:t>
      </w:r>
      <w:proofErr w:type="spellEnd"/>
      <w:r w:rsidRPr="002E5A68">
        <w:rPr>
          <w:rFonts w:eastAsiaTheme="minorHAnsi"/>
        </w:rPr>
        <w:t xml:space="preserve"> jau pateikė tvirtinimui ir kuriuos reikia patvirtinti. Nuorodos bus matomos tik tada, kai </w:t>
      </w:r>
      <w:proofErr w:type="spellStart"/>
      <w:r w:rsidRPr="002E5A68">
        <w:rPr>
          <w:rFonts w:eastAsiaTheme="minorHAnsi"/>
        </w:rPr>
        <w:t>pildytojas</w:t>
      </w:r>
      <w:proofErr w:type="spellEnd"/>
      <w:r w:rsidRPr="002E5A68">
        <w:rPr>
          <w:rFonts w:eastAsiaTheme="minorHAnsi"/>
        </w:rPr>
        <w:t xml:space="preserve"> bus paspaudęs mygtuką „Teikti tvirtinimui“.</w:t>
      </w:r>
    </w:p>
    <w:p w14:paraId="2EF1D54C"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 xml:space="preserve">Jeigu institucijoje esate ir duomenų </w:t>
      </w:r>
      <w:proofErr w:type="spellStart"/>
      <w:r w:rsidRPr="002E5A68">
        <w:rPr>
          <w:rFonts w:eastAsiaTheme="minorHAnsi"/>
        </w:rPr>
        <w:t>pildytojas</w:t>
      </w:r>
      <w:proofErr w:type="spellEnd"/>
      <w:r w:rsidRPr="002E5A68">
        <w:rPr>
          <w:rFonts w:eastAsiaTheme="minorHAnsi"/>
        </w:rPr>
        <w:t>, ir duomenų tvirtintojas:</w:t>
      </w:r>
    </w:p>
    <w:p w14:paraId="0E908666" w14:textId="77777777" w:rsidR="00D144A8" w:rsidRDefault="002E5A68" w:rsidP="002C3202">
      <w:pPr>
        <w:numPr>
          <w:ilvl w:val="2"/>
          <w:numId w:val="2"/>
        </w:numPr>
        <w:spacing w:after="0" w:line="240" w:lineRule="auto"/>
        <w:jc w:val="both"/>
        <w:rPr>
          <w:rFonts w:eastAsiaTheme="minorHAnsi"/>
        </w:rPr>
      </w:pPr>
      <w:r w:rsidRPr="002E5A68">
        <w:rPr>
          <w:rFonts w:eastAsiaTheme="minorHAnsi"/>
        </w:rPr>
        <w:t xml:space="preserve"> </w:t>
      </w:r>
      <w:r w:rsidR="00D144A8" w:rsidRPr="002E5A68">
        <w:rPr>
          <w:rFonts w:eastAsiaTheme="minorHAnsi"/>
        </w:rPr>
        <w:t>Skiltyje „</w:t>
      </w:r>
      <w:r w:rsidR="00D144A8" w:rsidRPr="002C3202">
        <w:rPr>
          <w:rFonts w:eastAsiaTheme="minorHAnsi"/>
          <w:b/>
        </w:rPr>
        <w:t>Jūs turite užpildyti šias formas</w:t>
      </w:r>
      <w:r w:rsidR="00D144A8" w:rsidRPr="002E5A68">
        <w:rPr>
          <w:rFonts w:eastAsiaTheme="minorHAnsi"/>
        </w:rPr>
        <w:t>“ matysite nuorodas į statistikos duomenų sąrašus, kuriuos reik</w:t>
      </w:r>
      <w:r>
        <w:rPr>
          <w:rFonts w:eastAsiaTheme="minorHAnsi"/>
        </w:rPr>
        <w:t>ia</w:t>
      </w:r>
      <w:r w:rsidR="00D144A8" w:rsidRPr="002E5A68">
        <w:rPr>
          <w:rFonts w:eastAsiaTheme="minorHAnsi"/>
        </w:rPr>
        <w:t xml:space="preserve"> užpildyti ir patvirtinti.</w:t>
      </w:r>
    </w:p>
    <w:p w14:paraId="5980BCF6" w14:textId="77777777" w:rsidR="002E5A68" w:rsidRDefault="002E5A68" w:rsidP="006B6F47">
      <w:pPr>
        <w:spacing w:before="120" w:after="0" w:line="240" w:lineRule="auto"/>
        <w:ind w:left="2517"/>
        <w:jc w:val="both"/>
        <w:rPr>
          <w:rFonts w:eastAsiaTheme="minorHAnsi"/>
        </w:rPr>
      </w:pPr>
    </w:p>
    <w:p w14:paraId="3ADE1544" w14:textId="77777777" w:rsidR="002E5A68" w:rsidRPr="00060A8A" w:rsidRDefault="002E5A68" w:rsidP="00060A8A">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 xml:space="preserve">Statistinio sąrašo </w:t>
      </w:r>
      <w:r w:rsidR="002C3202">
        <w:rPr>
          <w:rFonts w:ascii="Times New Roman" w:eastAsiaTheme="minorHAnsi" w:hAnsi="Times New Roman" w:cs="Times New Roman"/>
        </w:rPr>
        <w:t xml:space="preserve">duomenų </w:t>
      </w:r>
      <w:r w:rsidRPr="002C3202">
        <w:rPr>
          <w:rFonts w:ascii="Times New Roman" w:eastAsiaTheme="minorHAnsi" w:hAnsi="Times New Roman" w:cs="Times New Roman"/>
        </w:rPr>
        <w:t>pildymas</w:t>
      </w:r>
    </w:p>
    <w:p w14:paraId="74E29AC1" w14:textId="77777777" w:rsidR="006D1A02" w:rsidRPr="006D1A02" w:rsidRDefault="006D1A02" w:rsidP="00B42EBA">
      <w:pPr>
        <w:pStyle w:val="Sraopastraipa"/>
        <w:tabs>
          <w:tab w:val="left" w:pos="0"/>
          <w:tab w:val="left" w:pos="284"/>
        </w:tabs>
        <w:spacing w:after="0" w:line="240" w:lineRule="auto"/>
        <w:ind w:left="0"/>
        <w:jc w:val="both"/>
        <w:rPr>
          <w:rFonts w:eastAsia="Times New Roman"/>
          <w:lang w:eastAsia="lt-LT"/>
        </w:rPr>
      </w:pPr>
      <w:r w:rsidRPr="006D1A02">
        <w:rPr>
          <w:rFonts w:eastAsia="Times New Roman"/>
          <w:lang w:eastAsia="lt-LT"/>
        </w:rPr>
        <w:t xml:space="preserve"> </w:t>
      </w:r>
    </w:p>
    <w:p w14:paraId="3457E223" w14:textId="77777777" w:rsidR="006D1A02" w:rsidRPr="006D1A02" w:rsidRDefault="00B42EBA" w:rsidP="006D1A02">
      <w:pPr>
        <w:pStyle w:val="Sraopastraipa"/>
        <w:numPr>
          <w:ilvl w:val="0"/>
          <w:numId w:val="3"/>
        </w:numPr>
        <w:tabs>
          <w:tab w:val="left" w:pos="0"/>
          <w:tab w:val="left" w:pos="284"/>
        </w:tabs>
        <w:spacing w:after="0" w:line="240" w:lineRule="auto"/>
        <w:ind w:left="0" w:firstLine="0"/>
        <w:jc w:val="both"/>
        <w:rPr>
          <w:rFonts w:eastAsia="Times New Roman"/>
          <w:lang w:eastAsia="lt-LT"/>
        </w:rPr>
      </w:pPr>
      <w:r w:rsidRPr="006D1A02">
        <w:rPr>
          <w:rFonts w:eastAsia="Times New Roman"/>
          <w:lang w:eastAsia="lt-LT"/>
        </w:rPr>
        <w:t xml:space="preserve">Šioje formoje </w:t>
      </w:r>
      <w:r>
        <w:rPr>
          <w:rFonts w:eastAsia="Times New Roman"/>
          <w:lang w:eastAsia="lt-LT"/>
        </w:rPr>
        <w:t>nei</w:t>
      </w:r>
      <w:r w:rsidRPr="006D1A02">
        <w:rPr>
          <w:rFonts w:eastAsia="Times New Roman"/>
          <w:lang w:eastAsia="lt-LT"/>
        </w:rPr>
        <w:t xml:space="preserve"> vien</w:t>
      </w:r>
      <w:r>
        <w:rPr>
          <w:rFonts w:eastAsia="Times New Roman"/>
          <w:lang w:eastAsia="lt-LT"/>
        </w:rPr>
        <w:t>o laukelio</w:t>
      </w:r>
      <w:r w:rsidRPr="006D1A02">
        <w:rPr>
          <w:rFonts w:eastAsia="Times New Roman"/>
          <w:lang w:eastAsia="lt-LT"/>
        </w:rPr>
        <w:t xml:space="preserve"> negalima palikti tuščio (neužpildyto) – būtina įrašyti skaičių</w:t>
      </w:r>
      <w:r>
        <w:rPr>
          <w:rFonts w:eastAsia="Times New Roman"/>
          <w:lang w:eastAsia="lt-LT"/>
        </w:rPr>
        <w:t>.</w:t>
      </w:r>
    </w:p>
    <w:p w14:paraId="2A8B34A7" w14:textId="77777777" w:rsidR="006D1A02" w:rsidRPr="006D1A02" w:rsidRDefault="006D1A02" w:rsidP="006D1A02">
      <w:pPr>
        <w:pStyle w:val="Sraopastraipa"/>
        <w:numPr>
          <w:ilvl w:val="0"/>
          <w:numId w:val="3"/>
        </w:numPr>
        <w:tabs>
          <w:tab w:val="left" w:pos="0"/>
          <w:tab w:val="left" w:pos="284"/>
        </w:tabs>
        <w:spacing w:after="0" w:line="240" w:lineRule="auto"/>
        <w:ind w:left="0" w:firstLine="0"/>
        <w:jc w:val="both"/>
        <w:rPr>
          <w:rFonts w:eastAsia="Times New Roman"/>
          <w:lang w:eastAsia="lt-LT"/>
        </w:rPr>
      </w:pPr>
      <w:r w:rsidRPr="006D1A02">
        <w:rPr>
          <w:rFonts w:eastAsia="Times New Roman"/>
          <w:lang w:eastAsia="lt-LT"/>
        </w:rPr>
        <w:t xml:space="preserve">Mygtuką </w:t>
      </w:r>
      <w:r w:rsidR="00B42EBA">
        <w:rPr>
          <w:rFonts w:eastAsia="Times New Roman"/>
          <w:lang w:eastAsia="lt-LT"/>
        </w:rPr>
        <w:t>„</w:t>
      </w:r>
      <w:r w:rsidRPr="006D1A02">
        <w:rPr>
          <w:rFonts w:eastAsia="Times New Roman"/>
          <w:lang w:eastAsia="lt-LT"/>
        </w:rPr>
        <w:t>Tvirtinti</w:t>
      </w:r>
      <w:r w:rsidR="00B42EBA">
        <w:rPr>
          <w:rFonts w:eastAsia="Times New Roman"/>
          <w:lang w:eastAsia="lt-LT"/>
        </w:rPr>
        <w:t>“</w:t>
      </w:r>
      <w:r w:rsidRPr="006D1A02">
        <w:rPr>
          <w:rFonts w:eastAsia="Times New Roman"/>
          <w:lang w:eastAsia="lt-LT"/>
        </w:rPr>
        <w:t xml:space="preserve"> arba </w:t>
      </w:r>
      <w:r w:rsidR="00B42EBA">
        <w:rPr>
          <w:rFonts w:eastAsia="Times New Roman"/>
          <w:lang w:eastAsia="lt-LT"/>
        </w:rPr>
        <w:t>„</w:t>
      </w:r>
      <w:r w:rsidRPr="006D1A02">
        <w:rPr>
          <w:rFonts w:eastAsia="Times New Roman"/>
          <w:lang w:eastAsia="lt-LT"/>
        </w:rPr>
        <w:t>Teikti tvirtinimui</w:t>
      </w:r>
      <w:r w:rsidR="00B42EBA">
        <w:rPr>
          <w:rFonts w:eastAsia="Times New Roman"/>
          <w:lang w:eastAsia="lt-LT"/>
        </w:rPr>
        <w:t>“</w:t>
      </w:r>
      <w:r w:rsidRPr="006D1A02">
        <w:rPr>
          <w:rFonts w:eastAsia="Times New Roman"/>
          <w:lang w:eastAsia="lt-LT"/>
        </w:rPr>
        <w:t xml:space="preserve"> reikia spausti tik tada, kai visi duomenys bus užpildyti ir išsaugoti.</w:t>
      </w:r>
    </w:p>
    <w:p w14:paraId="396FBFA3" w14:textId="77777777" w:rsidR="00B42EBA" w:rsidRPr="00B42EBA" w:rsidRDefault="00B42EBA" w:rsidP="00B42EBA">
      <w:pPr>
        <w:pStyle w:val="Sraopastraipa"/>
        <w:numPr>
          <w:ilvl w:val="0"/>
          <w:numId w:val="3"/>
        </w:numPr>
        <w:tabs>
          <w:tab w:val="left" w:pos="0"/>
          <w:tab w:val="left" w:pos="284"/>
        </w:tabs>
        <w:spacing w:after="0" w:line="240" w:lineRule="auto"/>
        <w:ind w:hanging="720"/>
        <w:jc w:val="both"/>
        <w:rPr>
          <w:rFonts w:eastAsia="Times New Roman"/>
          <w:lang w:eastAsia="lt-LT"/>
        </w:rPr>
      </w:pPr>
      <w:r w:rsidRPr="00B42EBA">
        <w:rPr>
          <w:rFonts w:eastAsia="Times New Roman"/>
          <w:i/>
          <w:u w:val="single"/>
          <w:lang w:eastAsia="lt-LT"/>
        </w:rPr>
        <w:t>Naudojamos sąvokos</w:t>
      </w:r>
      <w:r w:rsidRPr="00B42EBA">
        <w:rPr>
          <w:rFonts w:eastAsia="Times New Roman"/>
          <w:lang w:eastAsia="lt-LT"/>
        </w:rPr>
        <w:t>:</w:t>
      </w:r>
    </w:p>
    <w:p w14:paraId="0F17A94F" w14:textId="77777777" w:rsidR="00B42EBA" w:rsidRPr="00B42EBA" w:rsidRDefault="00B42EBA" w:rsidP="00B42EBA">
      <w:pPr>
        <w:tabs>
          <w:tab w:val="left" w:pos="0"/>
          <w:tab w:val="left" w:pos="284"/>
        </w:tabs>
        <w:spacing w:after="0" w:line="240" w:lineRule="auto"/>
        <w:jc w:val="both"/>
        <w:rPr>
          <w:rFonts w:eastAsia="Times New Roman"/>
          <w:lang w:eastAsia="lt-LT"/>
        </w:rPr>
      </w:pPr>
      <w:r w:rsidRPr="00B42EBA">
        <w:rPr>
          <w:rFonts w:eastAsia="Times New Roman"/>
          <w:b/>
          <w:lang w:eastAsia="lt-LT"/>
        </w:rPr>
        <w:t>Smurtas</w:t>
      </w:r>
      <w:r w:rsidRPr="00B42EBA">
        <w:rPr>
          <w:rFonts w:eastAsia="Times New Roman"/>
          <w:lang w:eastAsia="lt-LT"/>
        </w:rPr>
        <w:t xml:space="preserve"> – veikimu ar neveikimu asmeniui daromas tyčinis fizinis, psichinis, seksualinis, ekonominis ar kitas poveikis, dėl kurio asmuo patiria fizinę, materialinę ar neturtinę žalą.</w:t>
      </w:r>
    </w:p>
    <w:p w14:paraId="19C6EE0E" w14:textId="77777777" w:rsidR="00B42EBA" w:rsidRPr="00B42EBA" w:rsidRDefault="00B42EBA" w:rsidP="00B42EBA">
      <w:pPr>
        <w:tabs>
          <w:tab w:val="left" w:pos="0"/>
          <w:tab w:val="left" w:pos="284"/>
        </w:tabs>
        <w:spacing w:after="0" w:line="240" w:lineRule="auto"/>
        <w:jc w:val="both"/>
        <w:rPr>
          <w:rFonts w:eastAsia="Times New Roman"/>
          <w:lang w:eastAsia="lt-LT"/>
        </w:rPr>
      </w:pPr>
      <w:r w:rsidRPr="00B42EBA">
        <w:rPr>
          <w:rFonts w:eastAsia="Times New Roman"/>
          <w:b/>
          <w:lang w:eastAsia="lt-LT"/>
        </w:rPr>
        <w:t>Patyčios</w:t>
      </w:r>
      <w:r w:rsidRPr="00B42EBA">
        <w:rPr>
          <w:rFonts w:eastAsia="Times New Roman"/>
          <w:lang w:eastAsia="lt-LT"/>
        </w:rPr>
        <w:t xml:space="preserve"> – psichologinę ar fizinę jėgos persvarą turinčio asmens ar asmenų grupės kitam asmeniui daromi tyčiniai pasikartojantys veiksmai, kuriais siekiama pažeminti jo reputaciją ar orumą, jį įžeisti, įskaudinti ar kitaip sukelti jam psichologinę ar fizinę žalą. </w:t>
      </w:r>
    </w:p>
    <w:p w14:paraId="7FA744F5" w14:textId="77777777" w:rsidR="00B42EBA" w:rsidRPr="00B42EBA" w:rsidRDefault="00B42EBA" w:rsidP="00B42EBA">
      <w:pPr>
        <w:tabs>
          <w:tab w:val="left" w:pos="0"/>
          <w:tab w:val="left" w:pos="284"/>
        </w:tabs>
        <w:spacing w:after="0" w:line="240" w:lineRule="auto"/>
        <w:jc w:val="both"/>
        <w:rPr>
          <w:rFonts w:eastAsia="Times New Roman"/>
          <w:lang w:eastAsia="lt-LT"/>
        </w:rPr>
      </w:pPr>
      <w:r w:rsidRPr="00B42EBA">
        <w:rPr>
          <w:rFonts w:eastAsia="Times New Roman"/>
          <w:b/>
          <w:lang w:eastAsia="lt-LT"/>
        </w:rPr>
        <w:t>Patyčios kibernetinėje erdvėje</w:t>
      </w:r>
      <w:r w:rsidRPr="00B42EBA">
        <w:rPr>
          <w:rFonts w:eastAsia="Times New Roman"/>
          <w:lang w:eastAsia="lt-LT"/>
        </w:rPr>
        <w:t xml:space="preserv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14:paraId="4F0D5BD8" w14:textId="77777777" w:rsidR="00B42EBA" w:rsidRPr="00B42EBA" w:rsidRDefault="00B42EBA" w:rsidP="00B42EBA">
      <w:pPr>
        <w:pStyle w:val="Sraopastraipa"/>
        <w:numPr>
          <w:ilvl w:val="0"/>
          <w:numId w:val="3"/>
        </w:numPr>
        <w:tabs>
          <w:tab w:val="left" w:pos="0"/>
          <w:tab w:val="left" w:pos="284"/>
        </w:tabs>
        <w:spacing w:after="0" w:line="240" w:lineRule="auto"/>
        <w:ind w:hanging="720"/>
        <w:jc w:val="both"/>
        <w:rPr>
          <w:rFonts w:eastAsia="Times New Roman"/>
          <w:lang w:eastAsia="lt-LT"/>
        </w:rPr>
      </w:pPr>
      <w:r w:rsidRPr="00B42EBA">
        <w:rPr>
          <w:rFonts w:eastAsia="Times New Roman"/>
          <w:i/>
          <w:u w:val="single"/>
          <w:lang w:eastAsia="lt-LT"/>
        </w:rPr>
        <w:t>Atvejų fiksavimas</w:t>
      </w:r>
      <w:r w:rsidRPr="00B42EBA">
        <w:rPr>
          <w:rFonts w:eastAsia="Times New Roman"/>
          <w:lang w:eastAsia="lt-LT"/>
        </w:rPr>
        <w:t>:</w:t>
      </w:r>
    </w:p>
    <w:p w14:paraId="4E895C96" w14:textId="77777777" w:rsidR="00B42EBA" w:rsidRPr="00B42EBA" w:rsidRDefault="00B42EBA" w:rsidP="00B42EBA">
      <w:pPr>
        <w:tabs>
          <w:tab w:val="left" w:pos="0"/>
          <w:tab w:val="left" w:pos="284"/>
        </w:tabs>
        <w:spacing w:after="0" w:line="240" w:lineRule="auto"/>
        <w:jc w:val="both"/>
        <w:rPr>
          <w:rFonts w:eastAsia="Times New Roman"/>
          <w:lang w:eastAsia="lt-LT"/>
        </w:rPr>
      </w:pPr>
      <w:r w:rsidRPr="00B42EBA">
        <w:rPr>
          <w:rFonts w:eastAsia="Times New Roman"/>
          <w:lang w:eastAsia="lt-LT"/>
        </w:rPr>
        <w:t xml:space="preserve">Fiksuojami šie atvejai: mokykloje užfiksuoti smurto, patyčių, patyčių kibernetinėje erdvėje atvejai mokykloje. </w:t>
      </w:r>
    </w:p>
    <w:p w14:paraId="06B1CEA5" w14:textId="77777777" w:rsidR="006D1A02" w:rsidRPr="00B42EBA" w:rsidRDefault="00B42EBA" w:rsidP="00B42EBA">
      <w:pPr>
        <w:tabs>
          <w:tab w:val="left" w:pos="0"/>
          <w:tab w:val="left" w:pos="284"/>
        </w:tabs>
        <w:spacing w:after="0" w:line="240" w:lineRule="auto"/>
        <w:jc w:val="both"/>
        <w:rPr>
          <w:rFonts w:eastAsia="Times New Roman"/>
          <w:lang w:eastAsia="lt-LT"/>
        </w:rPr>
      </w:pPr>
      <w:r w:rsidRPr="00B42EBA">
        <w:rPr>
          <w:rFonts w:eastAsia="Times New Roman"/>
          <w:lang w:eastAsia="lt-LT"/>
        </w:rPr>
        <w:t>Fiksavimas vykdomas įgyvendinant Švietimo įstatymo 231, 232 straipsnių nuostatas, Smurto prevencijos įgyvendinimo mokyklose rekomendacijų, patvirtintų švietimo ir mokslo ministro 2017 m. kovo 22 d. įsakymu Nr. V-190, 8.5 punktą.</w:t>
      </w:r>
    </w:p>
    <w:p w14:paraId="6E5155D9" w14:textId="77777777" w:rsidR="00782055" w:rsidRPr="00B42EBA" w:rsidRDefault="00782055" w:rsidP="00B42EBA">
      <w:pPr>
        <w:pStyle w:val="Sraopastraipa"/>
        <w:tabs>
          <w:tab w:val="left" w:pos="284"/>
          <w:tab w:val="left" w:pos="709"/>
          <w:tab w:val="left" w:pos="851"/>
        </w:tabs>
        <w:spacing w:after="0" w:line="240" w:lineRule="auto"/>
        <w:jc w:val="both"/>
        <w:rPr>
          <w:rFonts w:eastAsia="Times New Roman"/>
          <w:lang w:eastAsia="lt-LT"/>
        </w:rPr>
      </w:pPr>
    </w:p>
    <w:p w14:paraId="415751BB" w14:textId="77777777" w:rsidR="00073E6A" w:rsidRPr="002C3202" w:rsidRDefault="00073E6A"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lastRenderedPageBreak/>
        <w:t>Atsiskaitymas ir kontaktai</w:t>
      </w:r>
    </w:p>
    <w:p w14:paraId="4DE73BFD" w14:textId="77777777" w:rsidR="002B770E" w:rsidRDefault="002B770E" w:rsidP="002B770E">
      <w:pPr>
        <w:numPr>
          <w:ilvl w:val="0"/>
          <w:numId w:val="6"/>
        </w:numPr>
        <w:tabs>
          <w:tab w:val="left" w:pos="284"/>
        </w:tabs>
        <w:spacing w:line="240" w:lineRule="auto"/>
        <w:ind w:left="0" w:firstLine="0"/>
        <w:contextualSpacing/>
        <w:jc w:val="both"/>
      </w:pPr>
      <w:r>
        <w:t xml:space="preserve">Teisingai užpildytą ir patikrintą statistinę formą institucijos atsakingas darbuotojas išsaugo ir patvirtina </w:t>
      </w:r>
      <w:r>
        <w:rPr>
          <w:rFonts w:eastAsiaTheme="minorHAnsi"/>
        </w:rPr>
        <w:t>taip, kaip nurodyta 2 skyriaus „Pateikimo į ŠVIS tvarka“ 3 punkte</w:t>
      </w:r>
      <w:r>
        <w:t>.</w:t>
      </w:r>
    </w:p>
    <w:p w14:paraId="3AF53692" w14:textId="77777777" w:rsidR="002B770E" w:rsidRDefault="002B770E" w:rsidP="002B770E">
      <w:pPr>
        <w:numPr>
          <w:ilvl w:val="0"/>
          <w:numId w:val="6"/>
        </w:numPr>
        <w:tabs>
          <w:tab w:val="left" w:pos="284"/>
        </w:tabs>
        <w:spacing w:line="240" w:lineRule="auto"/>
        <w:ind w:left="0" w:firstLine="0"/>
        <w:contextualSpacing/>
        <w:jc w:val="both"/>
      </w:pPr>
      <w:r>
        <w:t xml:space="preserve">Jei patvirtinęs statistinę formą institucijos atsakingas darbuotojas pastebi joje klaidų, tuomet savivaldybių ir nevalstybinės mokyklos turi kreiptis į savo savivaldybės atsakingus asmenis dėl statistinės formos atšaukimo. </w:t>
      </w:r>
    </w:p>
    <w:p w14:paraId="6C3B5AD3" w14:textId="77777777" w:rsidR="002B770E" w:rsidRDefault="002B770E" w:rsidP="002B770E">
      <w:pPr>
        <w:numPr>
          <w:ilvl w:val="0"/>
          <w:numId w:val="6"/>
        </w:numPr>
        <w:tabs>
          <w:tab w:val="left" w:pos="284"/>
        </w:tabs>
        <w:spacing w:line="240" w:lineRule="auto"/>
        <w:ind w:left="0" w:firstLine="0"/>
        <w:contextualSpacing/>
        <w:jc w:val="both"/>
      </w:pPr>
      <w:r>
        <w:t>Valstybinės mokyklos, norėdamos atšaukti statistinę formą, turi kreiptis į 11 punkte nurodytus Nacionalinės švietimo agentūros (toliau – NŠA) kontaktinius asmenis.</w:t>
      </w:r>
    </w:p>
    <w:p w14:paraId="3C183E0C" w14:textId="77777777" w:rsidR="002B770E" w:rsidRDefault="002B770E" w:rsidP="002B770E">
      <w:pPr>
        <w:numPr>
          <w:ilvl w:val="0"/>
          <w:numId w:val="6"/>
        </w:numPr>
        <w:tabs>
          <w:tab w:val="left" w:pos="284"/>
        </w:tabs>
        <w:spacing w:line="240" w:lineRule="auto"/>
        <w:ind w:left="0" w:firstLine="0"/>
        <w:contextualSpacing/>
        <w:jc w:val="both"/>
      </w:pPr>
      <w:r>
        <w:t xml:space="preserve">Visoms savivaldybėje veikiančioms </w:t>
      </w:r>
      <w:r>
        <w:rPr>
          <w:rFonts w:eastAsiaTheme="minorHAnsi"/>
        </w:rPr>
        <w:t>švietimo įstaigoms, vykdančioms atitinkamas 1 skyriaus 4 punkte vykdomas programas užpildžius ir patvirtinus šią formą</w:t>
      </w:r>
      <w:r>
        <w:t xml:space="preserve">, savivaldybės atsakingas darbuotojas jas patikrina, ir, jei randa netikslumų - atšaukia institucijos patvirtintą ataskaitą bei praneša institucijai, kad ją reikia taisyti. </w:t>
      </w:r>
    </w:p>
    <w:p w14:paraId="091133B2" w14:textId="77777777" w:rsidR="002B770E" w:rsidRDefault="002B770E" w:rsidP="002B770E">
      <w:pPr>
        <w:numPr>
          <w:ilvl w:val="0"/>
          <w:numId w:val="6"/>
        </w:numPr>
        <w:tabs>
          <w:tab w:val="left" w:pos="284"/>
        </w:tabs>
        <w:spacing w:line="240" w:lineRule="auto"/>
        <w:ind w:left="0" w:firstLine="0"/>
        <w:contextualSpacing/>
        <w:jc w:val="both"/>
      </w:pPr>
      <w:r>
        <w:t xml:space="preserve">Kai savivaldybės atsakingas darbuotojas patikrina visų </w:t>
      </w:r>
      <w:r>
        <w:rPr>
          <w:rFonts w:eastAsiaTheme="minorHAnsi"/>
        </w:rPr>
        <w:t xml:space="preserve">mokyklų patvirtintus duomenis </w:t>
      </w:r>
      <w:r>
        <w:t>ir klaidų neberanda, tuomet informuoja apie tai elektroniniu paštu 1</w:t>
      </w:r>
      <w:r w:rsidR="00321A0F">
        <w:t>1</w:t>
      </w:r>
      <w:r>
        <w:t xml:space="preserve"> punkte  nurodytą atsakingą NŠA darbuotoją.</w:t>
      </w:r>
    </w:p>
    <w:p w14:paraId="73F8E544" w14:textId="77777777" w:rsidR="002B770E" w:rsidRDefault="002B770E" w:rsidP="002B770E">
      <w:pPr>
        <w:numPr>
          <w:ilvl w:val="0"/>
          <w:numId w:val="6"/>
        </w:numPr>
        <w:tabs>
          <w:tab w:val="left" w:pos="284"/>
          <w:tab w:val="left" w:pos="426"/>
        </w:tabs>
        <w:spacing w:line="240" w:lineRule="auto"/>
        <w:ind w:left="0" w:firstLine="0"/>
        <w:contextualSpacing/>
        <w:jc w:val="both"/>
      </w:pPr>
      <w:r>
        <w:t>Jeigu savivaldybėms atsiskaičius statistinę formą NŠA darbuotojas ras netikslumų,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informuos apie galutinius rezultatus 11 punkte nurodytu el. paštu NŠA atsakingą darbuotoją. Jeigu NŠA darbuotojas neras netikslumų patvirtintose ataskaitose – bus laikoma, kad savivaldybė statistinę formą atsiskaitė.</w:t>
      </w:r>
    </w:p>
    <w:p w14:paraId="2E8044FC" w14:textId="77777777" w:rsidR="002B770E" w:rsidRDefault="002B770E" w:rsidP="002B770E">
      <w:pPr>
        <w:numPr>
          <w:ilvl w:val="0"/>
          <w:numId w:val="6"/>
        </w:numPr>
        <w:tabs>
          <w:tab w:val="left" w:pos="284"/>
          <w:tab w:val="left" w:pos="426"/>
        </w:tabs>
        <w:spacing w:line="240" w:lineRule="auto"/>
        <w:ind w:left="0" w:firstLine="0"/>
        <w:contextualSpacing/>
        <w:jc w:val="both"/>
      </w:pPr>
      <w:r>
        <w:t xml:space="preserve">Institucijos </w:t>
      </w:r>
      <w:proofErr w:type="spellStart"/>
      <w:r>
        <w:t>pildytojas</w:t>
      </w:r>
      <w:proofErr w:type="spellEnd"/>
      <w:r>
        <w:t xml:space="preserve"> arba tvirtintojas visais formos pildymo, tvirtinimo ir atsiskaitymo klausimais konsultuojasi su </w:t>
      </w:r>
      <w:proofErr w:type="spellStart"/>
      <w:r>
        <w:t>teritoriškai</w:t>
      </w:r>
      <w:proofErr w:type="spellEnd"/>
      <w:r>
        <w:t xml:space="preserve"> įstaigai priskirtos savivaldybės atsakingu darbuotoju.</w:t>
      </w:r>
    </w:p>
    <w:p w14:paraId="09E344F4" w14:textId="77777777" w:rsidR="002B770E" w:rsidRDefault="002B770E" w:rsidP="002B770E">
      <w:pPr>
        <w:numPr>
          <w:ilvl w:val="0"/>
          <w:numId w:val="6"/>
        </w:numPr>
        <w:tabs>
          <w:tab w:val="left" w:pos="284"/>
          <w:tab w:val="left" w:pos="426"/>
        </w:tabs>
        <w:spacing w:line="240" w:lineRule="auto"/>
        <w:ind w:left="0" w:firstLine="0"/>
        <w:contextualSpacing/>
        <w:jc w:val="both"/>
      </w:pPr>
      <w:r>
        <w:t xml:space="preserve">Savivaldybės darbuotojas visais formos pildymo, tvirtinimo ir atsiskaitymo klausimais konsultuojasi su 11 punkte nurodytu NŠA atsakingu darbuotoju. </w:t>
      </w:r>
    </w:p>
    <w:p w14:paraId="6ED8EA1A" w14:textId="77777777" w:rsidR="002B770E" w:rsidRDefault="002B770E" w:rsidP="002B770E">
      <w:pPr>
        <w:numPr>
          <w:ilvl w:val="0"/>
          <w:numId w:val="6"/>
        </w:numPr>
        <w:tabs>
          <w:tab w:val="left" w:pos="284"/>
          <w:tab w:val="left" w:pos="426"/>
        </w:tabs>
        <w:spacing w:line="240" w:lineRule="auto"/>
        <w:ind w:left="0" w:firstLine="0"/>
        <w:contextualSpacing/>
        <w:jc w:val="both"/>
      </w:pPr>
      <w:r>
        <w:t xml:space="preserve">Jei valstybinėms mokykloms atsiskaičius statistinę formą NŠA darbuotojas ras netikslumų, jis atšauks statistinės formos atsiskaitymą ir apie klaidas informuos institucijos atsakingą darbuotoją įpareigodamas ištaisyti netikslumus. Kai visos klaidos bus ištaisytos ir ataskaitos vėl patvirtintos, valstybinės mokyklos </w:t>
      </w:r>
      <w:proofErr w:type="spellStart"/>
      <w:r>
        <w:t>pildytojas</w:t>
      </w:r>
      <w:proofErr w:type="spellEnd"/>
      <w:r>
        <w:t xml:space="preserve"> arba tvirtintojas pakartotinai informuos apie galutinius rezultatus 11 punkte nurodytu el. paštu NŠA atsakingą darbuotoją. Jei NŠA darbuotojas neras netikslumų patvirtintoje formoje – bus laikoma, kad institucija statistinę formą atsiskaitė.</w:t>
      </w:r>
    </w:p>
    <w:p w14:paraId="1299E0C2" w14:textId="77777777" w:rsidR="002B770E" w:rsidRDefault="002B770E" w:rsidP="002B770E">
      <w:pPr>
        <w:numPr>
          <w:ilvl w:val="0"/>
          <w:numId w:val="6"/>
        </w:numPr>
        <w:tabs>
          <w:tab w:val="left" w:pos="284"/>
          <w:tab w:val="left" w:pos="426"/>
        </w:tabs>
        <w:spacing w:line="240" w:lineRule="auto"/>
        <w:ind w:left="0" w:firstLine="0"/>
        <w:contextualSpacing/>
        <w:jc w:val="both"/>
      </w:pPr>
      <w:r>
        <w:t xml:space="preserve">Valstybinės mokyklos </w:t>
      </w:r>
      <w:proofErr w:type="spellStart"/>
      <w:r>
        <w:t>pildytojas</w:t>
      </w:r>
      <w:proofErr w:type="spellEnd"/>
      <w:r>
        <w:t xml:space="preserve"> arba tvirtintojas formos pildymo, tvirtinimo ir atsiskaitymo konsultuojasi su 11 punkte nurodytu NŠA atsakingu darbuotoju. </w:t>
      </w:r>
    </w:p>
    <w:p w14:paraId="345028F3" w14:textId="07C552AB" w:rsidR="002E5A68" w:rsidRPr="002B770E" w:rsidRDefault="00D8597E" w:rsidP="00143C8B">
      <w:pPr>
        <w:numPr>
          <w:ilvl w:val="0"/>
          <w:numId w:val="6"/>
        </w:numPr>
        <w:tabs>
          <w:tab w:val="left" w:pos="284"/>
          <w:tab w:val="left" w:pos="426"/>
        </w:tabs>
        <w:spacing w:after="0" w:line="240" w:lineRule="auto"/>
        <w:contextualSpacing/>
        <w:jc w:val="both"/>
        <w:rPr>
          <w:rFonts w:eastAsiaTheme="minorHAnsi"/>
        </w:rPr>
      </w:pPr>
      <w:r w:rsidRPr="002B770E">
        <w:rPr>
          <w:rFonts w:eastAsiaTheme="minorHAnsi"/>
        </w:rPr>
        <w:t>Šios formos pildymo</w:t>
      </w:r>
      <w:r w:rsidR="00060A8A" w:rsidRPr="002B770E">
        <w:rPr>
          <w:rFonts w:eastAsiaTheme="minorHAnsi"/>
        </w:rPr>
        <w:t xml:space="preserve"> ir atsiskaitymo</w:t>
      </w:r>
      <w:r w:rsidRPr="002B770E">
        <w:rPr>
          <w:rFonts w:eastAsiaTheme="minorHAnsi"/>
        </w:rPr>
        <w:t xml:space="preserve"> klausimais konsultuoja </w:t>
      </w:r>
      <w:r w:rsidR="00AC437C" w:rsidRPr="002B770E">
        <w:rPr>
          <w:rFonts w:eastAsiaTheme="minorHAnsi"/>
          <w:b/>
        </w:rPr>
        <w:t xml:space="preserve">Rimantas </w:t>
      </w:r>
      <w:proofErr w:type="spellStart"/>
      <w:r w:rsidR="00AC437C" w:rsidRPr="002B770E">
        <w:rPr>
          <w:rFonts w:eastAsiaTheme="minorHAnsi"/>
          <w:b/>
        </w:rPr>
        <w:t>Pikšrys</w:t>
      </w:r>
      <w:proofErr w:type="spellEnd"/>
      <w:r w:rsidR="00AC437C" w:rsidRPr="002B770E">
        <w:rPr>
          <w:rFonts w:eastAsiaTheme="minorHAnsi"/>
        </w:rPr>
        <w:t>,</w:t>
      </w:r>
      <w:r w:rsidR="0007493E">
        <w:rPr>
          <w:rFonts w:eastAsiaTheme="minorHAnsi"/>
        </w:rPr>
        <w:t xml:space="preserve"> </w:t>
      </w:r>
      <w:proofErr w:type="spellStart"/>
      <w:r w:rsidR="0007493E">
        <w:rPr>
          <w:rFonts w:eastAsiaTheme="minorHAnsi"/>
        </w:rPr>
        <w:t>el.paštas</w:t>
      </w:r>
      <w:proofErr w:type="spellEnd"/>
      <w:r w:rsidR="0007493E">
        <w:rPr>
          <w:rFonts w:eastAsiaTheme="minorHAnsi"/>
        </w:rPr>
        <w:t xml:space="preserve">: </w:t>
      </w:r>
      <w:hyperlink r:id="rId9" w:history="1">
        <w:r w:rsidR="0007493E" w:rsidRPr="002D652E">
          <w:rPr>
            <w:rStyle w:val="Hipersaitas"/>
            <w:rFonts w:eastAsiaTheme="minorHAnsi"/>
          </w:rPr>
          <w:t>rimantas.piksrys@nsa.smm.lt</w:t>
        </w:r>
      </w:hyperlink>
      <w:r w:rsidR="0007493E">
        <w:rPr>
          <w:rFonts w:eastAsiaTheme="minorHAnsi"/>
        </w:rPr>
        <w:t xml:space="preserve"> </w:t>
      </w:r>
      <w:r w:rsidRPr="002B770E">
        <w:rPr>
          <w:rFonts w:eastAsiaTheme="minorHAnsi"/>
        </w:rPr>
        <w:t xml:space="preserve">tel. </w:t>
      </w:r>
      <w:r w:rsidR="005F0599">
        <w:rPr>
          <w:color w:val="212529"/>
        </w:rPr>
        <w:t>8 658 18504</w:t>
      </w:r>
      <w:bookmarkStart w:id="0" w:name="_GoBack"/>
      <w:bookmarkEnd w:id="0"/>
      <w:r w:rsidR="0007493E">
        <w:rPr>
          <w:rFonts w:ascii="Segoe UI" w:eastAsia="Times New Roman" w:hAnsi="Segoe UI" w:cs="Segoe UI"/>
          <w:color w:val="212529"/>
          <w:lang w:eastAsia="lt-LT"/>
        </w:rPr>
        <w:t xml:space="preserve">. </w:t>
      </w:r>
      <w:r w:rsidR="00AC437C" w:rsidRPr="002B770E">
        <w:rPr>
          <w:rFonts w:eastAsiaTheme="minorHAnsi"/>
        </w:rPr>
        <w:t>Kontekstinio turinio klausimais konsultuotis galite su Švietimo</w:t>
      </w:r>
      <w:r w:rsidR="002B770E">
        <w:rPr>
          <w:rFonts w:eastAsiaTheme="minorHAnsi"/>
        </w:rPr>
        <w:t>, mokslo</w:t>
      </w:r>
      <w:r w:rsidR="00AC437C" w:rsidRPr="002B770E">
        <w:rPr>
          <w:rFonts w:eastAsiaTheme="minorHAnsi"/>
        </w:rPr>
        <w:t xml:space="preserve"> ir </w:t>
      </w:r>
      <w:r w:rsidR="002B770E">
        <w:rPr>
          <w:rFonts w:eastAsiaTheme="minorHAnsi"/>
        </w:rPr>
        <w:t>sporto</w:t>
      </w:r>
      <w:r w:rsidR="00AC437C" w:rsidRPr="002B770E">
        <w:rPr>
          <w:rFonts w:eastAsiaTheme="minorHAnsi"/>
        </w:rPr>
        <w:t xml:space="preserve"> ministerijos Švietimo pagalbos skyriaus vyriausiąja specialiste </w:t>
      </w:r>
      <w:r w:rsidR="00143C8B">
        <w:rPr>
          <w:rFonts w:eastAsiaTheme="minorHAnsi"/>
        </w:rPr>
        <w:t>Jurgita Bagdonaite</w:t>
      </w:r>
      <w:r w:rsidR="00AC437C" w:rsidRPr="002B770E">
        <w:rPr>
          <w:rFonts w:eastAsiaTheme="minorHAnsi"/>
        </w:rPr>
        <w:t xml:space="preserve">, </w:t>
      </w:r>
      <w:proofErr w:type="spellStart"/>
      <w:r w:rsidR="00AC437C" w:rsidRPr="002B770E">
        <w:rPr>
          <w:rFonts w:eastAsiaTheme="minorHAnsi"/>
        </w:rPr>
        <w:t>el.paštas</w:t>
      </w:r>
      <w:proofErr w:type="spellEnd"/>
      <w:r w:rsidR="00AC437C" w:rsidRPr="002B770E">
        <w:rPr>
          <w:rFonts w:eastAsiaTheme="minorHAnsi"/>
        </w:rPr>
        <w:t xml:space="preserve">: </w:t>
      </w:r>
      <w:r w:rsidR="00143C8B" w:rsidRPr="00143C8B">
        <w:rPr>
          <w:rFonts w:eastAsiaTheme="minorHAnsi"/>
        </w:rPr>
        <w:t>Jurgita.Bagdonaite@smsm.lt</w:t>
      </w:r>
    </w:p>
    <w:p w14:paraId="023FCE25" w14:textId="77777777" w:rsidR="002E5A68" w:rsidRPr="00D144A8" w:rsidRDefault="002E5A68" w:rsidP="006B6F47">
      <w:pPr>
        <w:spacing w:after="0" w:line="240" w:lineRule="auto"/>
        <w:jc w:val="both"/>
        <w:rPr>
          <w:rFonts w:eastAsiaTheme="minorHAnsi"/>
        </w:rPr>
      </w:pPr>
    </w:p>
    <w:sectPr w:rsidR="002E5A68" w:rsidRPr="00D144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ED7"/>
    <w:multiLevelType w:val="hybridMultilevel"/>
    <w:tmpl w:val="C9E294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047E1"/>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3B3805"/>
    <w:multiLevelType w:val="hybridMultilevel"/>
    <w:tmpl w:val="C73279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1C090D"/>
    <w:multiLevelType w:val="hybridMultilevel"/>
    <w:tmpl w:val="A7B2EBFA"/>
    <w:lvl w:ilvl="0" w:tplc="52E6AF88">
      <w:start w:val="1"/>
      <w:numFmt w:val="decimal"/>
      <w:suff w:val="space"/>
      <w:lvlText w:val="%1."/>
      <w:lvlJc w:val="left"/>
      <w:pPr>
        <w:ind w:left="567"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04F7D79"/>
    <w:multiLevelType w:val="hybridMultilevel"/>
    <w:tmpl w:val="225800A2"/>
    <w:lvl w:ilvl="0" w:tplc="A43ABE2C">
      <w:start w:val="1"/>
      <w:numFmt w:val="decimal"/>
      <w:suff w:val="space"/>
      <w:lvlText w:val="%1."/>
      <w:lvlJc w:val="left"/>
      <w:pPr>
        <w:ind w:left="1077"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num w:numId="1">
    <w:abstractNumId w:val="3"/>
  </w:num>
  <w:num w:numId="2">
    <w:abstractNumId w:val="4"/>
  </w:num>
  <w:num w:numId="3">
    <w:abstractNumId w:val="2"/>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29"/>
    <w:rsid w:val="00060A8A"/>
    <w:rsid w:val="00073E6A"/>
    <w:rsid w:val="0007493E"/>
    <w:rsid w:val="000819A0"/>
    <w:rsid w:val="000F4F71"/>
    <w:rsid w:val="00143C8B"/>
    <w:rsid w:val="0019122B"/>
    <w:rsid w:val="00210C40"/>
    <w:rsid w:val="002B770E"/>
    <w:rsid w:val="002C3202"/>
    <w:rsid w:val="002E5A68"/>
    <w:rsid w:val="00321A0F"/>
    <w:rsid w:val="00322199"/>
    <w:rsid w:val="004041CF"/>
    <w:rsid w:val="00461DED"/>
    <w:rsid w:val="004F5299"/>
    <w:rsid w:val="005F0599"/>
    <w:rsid w:val="006B6F47"/>
    <w:rsid w:val="006D1A02"/>
    <w:rsid w:val="00737304"/>
    <w:rsid w:val="00744885"/>
    <w:rsid w:val="0077045F"/>
    <w:rsid w:val="007711AE"/>
    <w:rsid w:val="00777EE3"/>
    <w:rsid w:val="00782055"/>
    <w:rsid w:val="007B78C9"/>
    <w:rsid w:val="00845A1B"/>
    <w:rsid w:val="00871E8F"/>
    <w:rsid w:val="00950990"/>
    <w:rsid w:val="00AC437C"/>
    <w:rsid w:val="00B42EBA"/>
    <w:rsid w:val="00CA657D"/>
    <w:rsid w:val="00CB2B07"/>
    <w:rsid w:val="00D144A8"/>
    <w:rsid w:val="00D3356C"/>
    <w:rsid w:val="00D8597E"/>
    <w:rsid w:val="00D87676"/>
    <w:rsid w:val="00DB0812"/>
    <w:rsid w:val="00E25629"/>
    <w:rsid w:val="00EA0254"/>
    <w:rsid w:val="00F22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6B0E"/>
  <w15:chartTrackingRefBased/>
  <w15:docId w15:val="{9B385337-A185-4B20-84DD-892A2B8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5629"/>
    <w:pPr>
      <w:spacing w:after="200" w:line="276" w:lineRule="auto"/>
    </w:pPr>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2C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C3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629"/>
    <w:pPr>
      <w:ind w:left="720"/>
      <w:contextualSpacing/>
    </w:pPr>
  </w:style>
  <w:style w:type="character" w:styleId="Hipersaitas">
    <w:name w:val="Hyperlink"/>
    <w:rsid w:val="00D144A8"/>
    <w:rPr>
      <w:color w:val="0000FF"/>
      <w:u w:val="single"/>
    </w:rPr>
  </w:style>
  <w:style w:type="character" w:customStyle="1" w:styleId="Antrat1Diagrama">
    <w:name w:val="Antraštė 1 Diagrama"/>
    <w:basedOn w:val="Numatytasispastraiposriftas"/>
    <w:link w:val="Antrat1"/>
    <w:uiPriority w:val="9"/>
    <w:rsid w:val="002C3202"/>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2C3202"/>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4F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6944">
      <w:bodyDiv w:val="1"/>
      <w:marLeft w:val="0"/>
      <w:marRight w:val="0"/>
      <w:marTop w:val="0"/>
      <w:marBottom w:val="0"/>
      <w:divBdr>
        <w:top w:val="none" w:sz="0" w:space="0" w:color="auto"/>
        <w:left w:val="none" w:sz="0" w:space="0" w:color="auto"/>
        <w:bottom w:val="none" w:sz="0" w:space="0" w:color="auto"/>
        <w:right w:val="none" w:sz="0" w:space="0" w:color="auto"/>
      </w:divBdr>
    </w:div>
    <w:div w:id="9460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is3.emokykla.lt/cognos/bi/?perspective=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mantas.piksrys@nsa.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6" ma:contentTypeDescription="Kurkite naują dokumentą." ma:contentTypeScope="" ma:versionID="68e766cdcc72b0528b98d521a48bb323">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eb564a52c67e0b78163a3ddf874b3d7d"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ec8faf-838e-48b9-b550-3b4317c7796a" xsi:nil="true"/>
  </documentManagement>
</p:properties>
</file>

<file path=customXml/itemProps1.xml><?xml version="1.0" encoding="utf-8"?>
<ds:datastoreItem xmlns:ds="http://schemas.openxmlformats.org/officeDocument/2006/customXml" ds:itemID="{CC0A3EB3-C940-4502-9480-B9600ADC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201AB-A453-4276-8778-63DB11BC6A4D}">
  <ds:schemaRefs>
    <ds:schemaRef ds:uri="http://schemas.microsoft.com/sharepoint/v3/contenttype/forms"/>
  </ds:schemaRefs>
</ds:datastoreItem>
</file>

<file path=customXml/itemProps3.xml><?xml version="1.0" encoding="utf-8"?>
<ds:datastoreItem xmlns:ds="http://schemas.openxmlformats.org/officeDocument/2006/customXml" ds:itemID="{07503056-9C0E-4E89-A788-5A357DA20123}">
  <ds:schemaRefs>
    <ds:schemaRef ds:uri="992db97f-034e-4cf1-baa5-830a694aee45"/>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54ec8faf-838e-48b9-b550-3b4317c7796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3743</Words>
  <Characters>2134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Urnavičius</dc:creator>
  <cp:keywords/>
  <dc:description/>
  <cp:lastModifiedBy>Ineta Antanavičienė</cp:lastModifiedBy>
  <cp:revision>2</cp:revision>
  <dcterms:created xsi:type="dcterms:W3CDTF">2024-01-31T07:44:00Z</dcterms:created>
  <dcterms:modified xsi:type="dcterms:W3CDTF">2024-01-31T07:44:00Z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